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Ind w:w="636" w:type="dxa"/>
        <w:tblLook w:val="04A0" w:firstRow="1" w:lastRow="0" w:firstColumn="1" w:lastColumn="0" w:noHBand="0" w:noVBand="1"/>
      </w:tblPr>
      <w:tblGrid>
        <w:gridCol w:w="2988"/>
        <w:gridCol w:w="2880"/>
        <w:gridCol w:w="2880"/>
        <w:gridCol w:w="2970"/>
      </w:tblGrid>
      <w:tr w:rsidR="00416076" w:rsidTr="00416076">
        <w:tc>
          <w:tcPr>
            <w:tcW w:w="2988" w:type="dxa"/>
          </w:tcPr>
          <w:p w:rsidR="00416076" w:rsidRPr="00416076" w:rsidRDefault="00416076" w:rsidP="004D5A33">
            <w:pPr>
              <w:jc w:val="center"/>
              <w:rPr>
                <w:b/>
                <w:sz w:val="24"/>
              </w:rPr>
            </w:pPr>
            <w:r w:rsidRPr="00416076">
              <w:rPr>
                <w:b/>
                <w:sz w:val="24"/>
              </w:rPr>
              <w:t>Counting and Cardinality</w:t>
            </w:r>
          </w:p>
          <w:p w:rsidR="00416076" w:rsidRDefault="00416076" w:rsidP="00416076"/>
        </w:tc>
        <w:tc>
          <w:tcPr>
            <w:tcW w:w="2880" w:type="dxa"/>
          </w:tcPr>
          <w:p w:rsidR="00416076" w:rsidRPr="00416076" w:rsidRDefault="00416076" w:rsidP="00416076">
            <w:pPr>
              <w:jc w:val="center"/>
              <w:rPr>
                <w:b/>
              </w:rPr>
            </w:pPr>
            <w:r w:rsidRPr="00416076">
              <w:rPr>
                <w:b/>
                <w:sz w:val="24"/>
              </w:rPr>
              <w:t>Operations and Algebraic Thinking</w:t>
            </w:r>
          </w:p>
        </w:tc>
        <w:tc>
          <w:tcPr>
            <w:tcW w:w="2880" w:type="dxa"/>
          </w:tcPr>
          <w:p w:rsidR="00416076" w:rsidRPr="00416076" w:rsidRDefault="00416076" w:rsidP="00416076">
            <w:pPr>
              <w:jc w:val="center"/>
              <w:rPr>
                <w:b/>
              </w:rPr>
            </w:pPr>
            <w:r w:rsidRPr="00416076">
              <w:rPr>
                <w:b/>
                <w:sz w:val="24"/>
              </w:rPr>
              <w:t>Geometry</w:t>
            </w:r>
          </w:p>
        </w:tc>
        <w:tc>
          <w:tcPr>
            <w:tcW w:w="2970" w:type="dxa"/>
          </w:tcPr>
          <w:p w:rsidR="00416076" w:rsidRPr="00416076" w:rsidRDefault="00416076" w:rsidP="00416076">
            <w:pPr>
              <w:jc w:val="center"/>
              <w:rPr>
                <w:b/>
                <w:sz w:val="24"/>
              </w:rPr>
            </w:pPr>
            <w:r w:rsidRPr="00416076">
              <w:rPr>
                <w:b/>
                <w:sz w:val="24"/>
              </w:rPr>
              <w:t>Measurement and Data</w:t>
            </w:r>
          </w:p>
        </w:tc>
      </w:tr>
      <w:tr w:rsidR="00416076" w:rsidTr="00416076">
        <w:trPr>
          <w:trHeight w:val="6497"/>
        </w:trPr>
        <w:tc>
          <w:tcPr>
            <w:tcW w:w="2988" w:type="dxa"/>
          </w:tcPr>
          <w:p w:rsidR="00416076" w:rsidRPr="00416076" w:rsidRDefault="00416076" w:rsidP="00416076">
            <w:pPr>
              <w:rPr>
                <w:sz w:val="32"/>
                <w:szCs w:val="24"/>
              </w:rPr>
            </w:pPr>
            <w:r w:rsidRPr="00416076">
              <w:rPr>
                <w:sz w:val="24"/>
                <w:szCs w:val="24"/>
              </w:rPr>
              <w:t xml:space="preserve">- </w:t>
            </w:r>
            <w:r w:rsidRPr="00416076">
              <w:rPr>
                <w:sz w:val="24"/>
                <w:szCs w:val="24"/>
              </w:rPr>
              <w:t>Know number names and the count sequence.</w:t>
            </w:r>
          </w:p>
          <w:p w:rsidR="00416076" w:rsidRPr="00416076" w:rsidRDefault="00416076" w:rsidP="00416076">
            <w:pPr>
              <w:rPr>
                <w:sz w:val="24"/>
              </w:rPr>
            </w:pPr>
          </w:p>
          <w:p w:rsidR="00416076" w:rsidRPr="00416076" w:rsidRDefault="00416076" w:rsidP="00416076">
            <w:pPr>
              <w:rPr>
                <w:sz w:val="24"/>
              </w:rPr>
            </w:pPr>
            <w:r w:rsidRPr="00416076">
              <w:rPr>
                <w:sz w:val="24"/>
              </w:rPr>
              <w:t xml:space="preserve">- </w:t>
            </w:r>
            <w:r w:rsidRPr="00416076">
              <w:rPr>
                <w:sz w:val="24"/>
              </w:rPr>
              <w:t xml:space="preserve">Understand the relationship between numbers and quantities; connect counting to cardinality. </w:t>
            </w:r>
          </w:p>
          <w:p w:rsidR="00416076" w:rsidRPr="00416076" w:rsidRDefault="00416076" w:rsidP="00416076">
            <w:pPr>
              <w:rPr>
                <w:sz w:val="24"/>
              </w:rPr>
            </w:pPr>
          </w:p>
          <w:p w:rsidR="00416076" w:rsidRPr="00416076" w:rsidRDefault="00416076" w:rsidP="00416076">
            <w:pPr>
              <w:rPr>
                <w:sz w:val="24"/>
              </w:rPr>
            </w:pPr>
            <w:r w:rsidRPr="00416076">
              <w:rPr>
                <w:sz w:val="24"/>
              </w:rPr>
              <w:t xml:space="preserve">- </w:t>
            </w:r>
            <w:r w:rsidRPr="00416076">
              <w:rPr>
                <w:sz w:val="24"/>
              </w:rPr>
              <w:t>Identify whether the number of objects in one group is greater than, less than, or equal to the number of objects in another group, e.g. by using matching and counting strategies.</w:t>
            </w:r>
          </w:p>
          <w:p w:rsidR="00416076" w:rsidRDefault="00416076"/>
        </w:tc>
        <w:tc>
          <w:tcPr>
            <w:tcW w:w="2880" w:type="dxa"/>
          </w:tcPr>
          <w:p w:rsidR="00416076" w:rsidRPr="00416076" w:rsidRDefault="00416076" w:rsidP="00416076">
            <w:pPr>
              <w:rPr>
                <w:sz w:val="24"/>
                <w:szCs w:val="18"/>
              </w:rPr>
            </w:pPr>
            <w:r w:rsidRPr="00416076">
              <w:rPr>
                <w:sz w:val="24"/>
                <w:szCs w:val="18"/>
              </w:rPr>
              <w:t>-</w:t>
            </w:r>
            <w:r w:rsidRPr="00416076">
              <w:rPr>
                <w:sz w:val="24"/>
                <w:szCs w:val="18"/>
              </w:rPr>
              <w:t xml:space="preserve"> Fluently add and subtract within 5.</w:t>
            </w:r>
          </w:p>
          <w:p w:rsidR="00416076" w:rsidRPr="00416076" w:rsidRDefault="00416076" w:rsidP="00416076">
            <w:pPr>
              <w:rPr>
                <w:rFonts w:ascii="Tahoma" w:hAnsi="Tahoma"/>
                <w:sz w:val="40"/>
                <w:szCs w:val="24"/>
              </w:rPr>
            </w:pPr>
            <w:bookmarkStart w:id="0" w:name="_GoBack"/>
            <w:bookmarkEnd w:id="0"/>
          </w:p>
          <w:p w:rsidR="00416076" w:rsidRPr="00416076" w:rsidRDefault="00416076" w:rsidP="00416076">
            <w:pPr>
              <w:rPr>
                <w:sz w:val="24"/>
                <w:szCs w:val="18"/>
              </w:rPr>
            </w:pPr>
            <w:r w:rsidRPr="00416076">
              <w:rPr>
                <w:sz w:val="24"/>
                <w:szCs w:val="18"/>
              </w:rPr>
              <w:t>-</w:t>
            </w:r>
            <w:r w:rsidRPr="00416076">
              <w:rPr>
                <w:sz w:val="24"/>
                <w:szCs w:val="18"/>
              </w:rPr>
              <w:t xml:space="preserve">. Solve addition and subtraction word problems, and add and subtract within 10, e.g., by using objects or drawings to represent the problem. </w:t>
            </w:r>
          </w:p>
          <w:p w:rsidR="00416076" w:rsidRPr="00416076" w:rsidRDefault="00416076" w:rsidP="00416076">
            <w:pPr>
              <w:rPr>
                <w:sz w:val="24"/>
                <w:szCs w:val="18"/>
              </w:rPr>
            </w:pPr>
          </w:p>
          <w:p w:rsidR="00416076" w:rsidRPr="00416076" w:rsidRDefault="00416076" w:rsidP="00416076">
            <w:pPr>
              <w:rPr>
                <w:sz w:val="16"/>
                <w:szCs w:val="18"/>
              </w:rPr>
            </w:pPr>
            <w:r w:rsidRPr="00416076">
              <w:rPr>
                <w:sz w:val="24"/>
                <w:szCs w:val="18"/>
              </w:rPr>
              <w:t>-</w:t>
            </w:r>
            <w:r w:rsidRPr="00416076">
              <w:rPr>
                <w:sz w:val="24"/>
                <w:szCs w:val="18"/>
              </w:rPr>
              <w:t xml:space="preserve"> Decompose numbers less than or equal to 10 into pairs in more than one way, e.g., by using objects or drawings, and record each decomposition by a drawing or equation (e.g., 5 = 2 + 3 and 5 = 4 + 1). </w:t>
            </w:r>
          </w:p>
          <w:p w:rsidR="00416076" w:rsidRDefault="00416076"/>
        </w:tc>
        <w:tc>
          <w:tcPr>
            <w:tcW w:w="2880" w:type="dxa"/>
          </w:tcPr>
          <w:p w:rsidR="00416076" w:rsidRPr="00416076" w:rsidRDefault="00416076" w:rsidP="00416076">
            <w:pPr>
              <w:pStyle w:val="NoSpacing"/>
              <w:rPr>
                <w:rFonts w:asciiTheme="minorHAnsi" w:hAnsiTheme="minorHAnsi"/>
                <w:szCs w:val="18"/>
              </w:rPr>
            </w:pPr>
            <w:r w:rsidRPr="00416076">
              <w:rPr>
                <w:rFonts w:asciiTheme="minorHAnsi" w:hAnsiTheme="minorHAnsi"/>
                <w:szCs w:val="18"/>
              </w:rPr>
              <w:t>-</w:t>
            </w:r>
            <w:r w:rsidRPr="00416076">
              <w:rPr>
                <w:rFonts w:asciiTheme="minorHAnsi" w:hAnsiTheme="minorHAnsi"/>
                <w:szCs w:val="18"/>
              </w:rPr>
              <w:t xml:space="preserve"> Analyze and compare 2-D and 3-D shapes in different sizes and orientations using informal language.</w:t>
            </w:r>
          </w:p>
          <w:p w:rsidR="00416076" w:rsidRPr="00416076" w:rsidRDefault="00416076" w:rsidP="00416076">
            <w:pPr>
              <w:pStyle w:val="NoSpacing"/>
              <w:rPr>
                <w:rFonts w:asciiTheme="minorHAnsi" w:hAnsiTheme="minorHAnsi"/>
                <w:szCs w:val="18"/>
              </w:rPr>
            </w:pPr>
          </w:p>
          <w:p w:rsidR="00416076" w:rsidRPr="00416076" w:rsidRDefault="00416076" w:rsidP="00416076">
            <w:pPr>
              <w:pStyle w:val="NoSpacing"/>
              <w:rPr>
                <w:rFonts w:asciiTheme="minorHAnsi" w:hAnsiTheme="minorHAnsi"/>
                <w:szCs w:val="18"/>
              </w:rPr>
            </w:pPr>
            <w:r w:rsidRPr="00416076">
              <w:rPr>
                <w:rFonts w:asciiTheme="minorHAnsi" w:hAnsiTheme="minorHAnsi"/>
                <w:szCs w:val="18"/>
              </w:rPr>
              <w:t>-</w:t>
            </w:r>
            <w:r w:rsidRPr="00416076">
              <w:rPr>
                <w:rFonts w:asciiTheme="minorHAnsi" w:hAnsiTheme="minorHAnsi"/>
                <w:szCs w:val="18"/>
              </w:rPr>
              <w:t xml:space="preserve"> Describe objects in the environment using names if shapes, and describe the relative positions of these objects using terms such as above, below, beside, in front of, behind, and next to.</w:t>
            </w:r>
          </w:p>
          <w:p w:rsidR="00416076" w:rsidRPr="00416076" w:rsidRDefault="00416076"/>
        </w:tc>
        <w:tc>
          <w:tcPr>
            <w:tcW w:w="2970" w:type="dxa"/>
          </w:tcPr>
          <w:p w:rsidR="00416076" w:rsidRPr="00416076" w:rsidRDefault="00416076" w:rsidP="00416076">
            <w:pPr>
              <w:pStyle w:val="NoSpacing"/>
              <w:rPr>
                <w:rFonts w:asciiTheme="minorHAnsi" w:hAnsiTheme="minorHAnsi"/>
              </w:rPr>
            </w:pPr>
            <w:r>
              <w:rPr>
                <w:rFonts w:asciiTheme="minorHAnsi" w:hAnsiTheme="minorHAnsi"/>
              </w:rPr>
              <w:t>-</w:t>
            </w:r>
            <w:r w:rsidRPr="00416076">
              <w:rPr>
                <w:rFonts w:asciiTheme="minorHAnsi" w:hAnsiTheme="minorHAnsi"/>
              </w:rPr>
              <w:t xml:space="preserve"> Directly compare two objects with a measurable attribute in common, to see which object has “more of”/“less of” the attribute, and describe the difference.  </w:t>
            </w:r>
          </w:p>
          <w:p w:rsidR="00416076" w:rsidRPr="00416076" w:rsidRDefault="00416076" w:rsidP="00416076">
            <w:pPr>
              <w:pStyle w:val="NoSpacing"/>
              <w:rPr>
                <w:rFonts w:asciiTheme="minorHAnsi" w:hAnsiTheme="minorHAnsi"/>
              </w:rPr>
            </w:pPr>
            <w:r w:rsidRPr="00416076">
              <w:rPr>
                <w:rFonts w:asciiTheme="minorHAnsi" w:hAnsiTheme="minorHAnsi"/>
              </w:rPr>
              <w:t xml:space="preserve">For example, directly compare the heights of two children and describe one child as taller/shorter. </w:t>
            </w:r>
          </w:p>
          <w:p w:rsidR="00416076" w:rsidRPr="00416076" w:rsidRDefault="00416076" w:rsidP="00416076">
            <w:pPr>
              <w:pStyle w:val="NoSpacing"/>
              <w:rPr>
                <w:rFonts w:asciiTheme="minorHAnsi" w:hAnsiTheme="minorHAnsi"/>
                <w:b/>
              </w:rPr>
            </w:pPr>
          </w:p>
          <w:p w:rsidR="00416076" w:rsidRPr="00416076" w:rsidRDefault="00416076" w:rsidP="00416076">
            <w:pPr>
              <w:pStyle w:val="NoSpacing"/>
              <w:rPr>
                <w:rFonts w:asciiTheme="minorHAnsi" w:hAnsiTheme="minorHAnsi"/>
              </w:rPr>
            </w:pPr>
            <w:r w:rsidRPr="00416076">
              <w:rPr>
                <w:rFonts w:asciiTheme="minorHAnsi" w:hAnsiTheme="minorHAnsi"/>
              </w:rPr>
              <w:t>-</w:t>
            </w:r>
            <w:r>
              <w:rPr>
                <w:rFonts w:asciiTheme="minorHAnsi" w:hAnsiTheme="minorHAnsi"/>
              </w:rPr>
              <w:t xml:space="preserve"> </w:t>
            </w:r>
            <w:r w:rsidRPr="00416076">
              <w:rPr>
                <w:rFonts w:asciiTheme="minorHAnsi" w:hAnsiTheme="minorHAnsi"/>
              </w:rPr>
              <w:t xml:space="preserve">Classify objects and count the number of objects in each category. </w:t>
            </w:r>
          </w:p>
          <w:p w:rsidR="00416076" w:rsidRDefault="00416076"/>
        </w:tc>
      </w:tr>
    </w:tbl>
    <w:p w:rsidR="00EA1BA2" w:rsidRDefault="00BC1C7A"/>
    <w:sectPr w:rsidR="00EA1BA2" w:rsidSect="004D5A33">
      <w:headerReference w:type="default" r:id="rId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6076" w:rsidRDefault="00416076" w:rsidP="00416076">
      <w:pPr>
        <w:spacing w:after="0" w:line="240" w:lineRule="auto"/>
      </w:pPr>
      <w:r>
        <w:separator/>
      </w:r>
    </w:p>
  </w:endnote>
  <w:endnote w:type="continuationSeparator" w:id="0">
    <w:p w:rsidR="00416076" w:rsidRDefault="00416076" w:rsidP="004160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409020205090404"/>
    <w:charset w:val="00"/>
    <w:family w:val="modern"/>
    <w:pitch w:val="fixed"/>
    <w:sig w:usb0="E0000AFF" w:usb1="40007843" w:usb2="00000001" w:usb3="00000000" w:csb0="000001BF" w:csb1="00000000"/>
  </w:font>
  <w:font w:name="Wingdings">
    <w:panose1 w:val="05000000000000000000"/>
    <w:charset w:val="02"/>
    <w:family w:val="decorative"/>
    <w:notTrueType/>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6076" w:rsidRDefault="00416076" w:rsidP="00416076">
      <w:pPr>
        <w:spacing w:after="0" w:line="240" w:lineRule="auto"/>
      </w:pPr>
      <w:r>
        <w:separator/>
      </w:r>
    </w:p>
  </w:footnote>
  <w:footnote w:type="continuationSeparator" w:id="0">
    <w:p w:rsidR="00416076" w:rsidRDefault="00416076" w:rsidP="0041607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6076" w:rsidRPr="00416076" w:rsidRDefault="00416076" w:rsidP="00416076">
    <w:pPr>
      <w:pStyle w:val="Header"/>
      <w:jc w:val="center"/>
      <w:rPr>
        <w:sz w:val="28"/>
      </w:rPr>
    </w:pPr>
    <w:r>
      <w:rPr>
        <w:sz w:val="28"/>
      </w:rPr>
      <w:t>Kindergarten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853CC6"/>
    <w:multiLevelType w:val="hybridMultilevel"/>
    <w:tmpl w:val="7F76713E"/>
    <w:lvl w:ilvl="0" w:tplc="EEC0FBE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A546646"/>
    <w:multiLevelType w:val="hybridMultilevel"/>
    <w:tmpl w:val="2450585C"/>
    <w:lvl w:ilvl="0" w:tplc="E0C6861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5A33"/>
    <w:rsid w:val="00091E20"/>
    <w:rsid w:val="00416076"/>
    <w:rsid w:val="004D5A33"/>
    <w:rsid w:val="00BC1C7A"/>
    <w:rsid w:val="00C439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D5A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4D5A33"/>
    <w:pPr>
      <w:spacing w:after="0" w:line="240" w:lineRule="auto"/>
    </w:pPr>
    <w:rPr>
      <w:rFonts w:ascii="Tahoma" w:hAnsi="Tahoma"/>
      <w:sz w:val="24"/>
      <w:szCs w:val="24"/>
    </w:rPr>
  </w:style>
  <w:style w:type="paragraph" w:styleId="Header">
    <w:name w:val="header"/>
    <w:basedOn w:val="Normal"/>
    <w:link w:val="HeaderChar"/>
    <w:uiPriority w:val="99"/>
    <w:unhideWhenUsed/>
    <w:rsid w:val="004160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6076"/>
  </w:style>
  <w:style w:type="paragraph" w:styleId="Footer">
    <w:name w:val="footer"/>
    <w:basedOn w:val="Normal"/>
    <w:link w:val="FooterChar"/>
    <w:uiPriority w:val="99"/>
    <w:unhideWhenUsed/>
    <w:rsid w:val="004160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607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D5A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4D5A33"/>
    <w:pPr>
      <w:spacing w:after="0" w:line="240" w:lineRule="auto"/>
    </w:pPr>
    <w:rPr>
      <w:rFonts w:ascii="Tahoma" w:hAnsi="Tahoma"/>
      <w:sz w:val="24"/>
      <w:szCs w:val="24"/>
    </w:rPr>
  </w:style>
  <w:style w:type="paragraph" w:styleId="Header">
    <w:name w:val="header"/>
    <w:basedOn w:val="Normal"/>
    <w:link w:val="HeaderChar"/>
    <w:uiPriority w:val="99"/>
    <w:unhideWhenUsed/>
    <w:rsid w:val="004160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6076"/>
  </w:style>
  <w:style w:type="paragraph" w:styleId="Footer">
    <w:name w:val="footer"/>
    <w:basedOn w:val="Normal"/>
    <w:link w:val="FooterChar"/>
    <w:uiPriority w:val="99"/>
    <w:unhideWhenUsed/>
    <w:rsid w:val="004160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60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213</Words>
  <Characters>1219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Brittany Browning</dc:creator>
  <cp:lastModifiedBy>Brittany Browning</cp:lastModifiedBy>
  <cp:revision>2</cp:revision>
  <dcterms:created xsi:type="dcterms:W3CDTF">2014-06-04T14:07:00Z</dcterms:created>
  <dcterms:modified xsi:type="dcterms:W3CDTF">2014-06-04T14:07:00Z</dcterms:modified>
</cp:coreProperties>
</file>